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7.0" w:type="dxa"/>
        <w:jc w:val="center"/>
        <w:tblLayout w:type="fixed"/>
        <w:tblLook w:val="0000"/>
      </w:tblPr>
      <w:tblGrid>
        <w:gridCol w:w="7071"/>
        <w:gridCol w:w="7796"/>
        <w:tblGridChange w:id="0">
          <w:tblGrid>
            <w:gridCol w:w="7071"/>
            <w:gridCol w:w="7796"/>
          </w:tblGrid>
        </w:tblGridChange>
      </w:tblGrid>
      <w:tr>
        <w:trPr>
          <w:cantSplit w:val="0"/>
          <w:trHeight w:val="1723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2">
            <w:pPr>
              <w:ind w:left="540" w:firstLine="0"/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123825</wp:posOffset>
                  </wp:positionV>
                  <wp:extent cx="596613" cy="940117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613" cy="9401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34"/>
                <w:szCs w:val="3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sz w:val="38"/>
                <w:szCs w:val="38"/>
                <w:vertAlign w:val="baseline"/>
              </w:rPr>
            </w:pPr>
            <w:r w:rsidDel="00000000" w:rsidR="00000000" w:rsidRPr="00000000">
              <w:rPr>
                <w:sz w:val="38"/>
                <w:szCs w:val="38"/>
                <w:vertAlign w:val="baseline"/>
                <w:rtl w:val="0"/>
              </w:rPr>
              <w:t xml:space="preserve">СОФИЙСКИ  УНИВЕРСИТЕТ  „СВ. КЛИМЕНТ ОХРИДСКИ”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ФАКУЛТЕТ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ПО НАУКИ ЗА ОБРАЗОВАНИЕТО И ИЗКУСТВАТА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6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54"/>
                <w:szCs w:val="54"/>
                <w:vertAlign w:val="baseline"/>
              </w:rPr>
            </w:pPr>
            <w:r w:rsidDel="00000000" w:rsidR="00000000" w:rsidRPr="00000000">
              <w:rPr>
                <w:sz w:val="54"/>
                <w:szCs w:val="54"/>
                <w:vertAlign w:val="baseline"/>
                <w:rtl w:val="0"/>
              </w:rPr>
              <w:t xml:space="preserve">У Ч Е Б Е Н   П Л А Н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Утвърждавам:</w:t>
            </w:r>
            <w:r w:rsidDel="00000000" w:rsidR="00000000" w:rsidRPr="00000000">
              <w:rPr>
                <w:sz w:val="30"/>
                <w:szCs w:val="3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..................................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Утвърден от Академически съвет с протокол</w:t>
            </w:r>
          </w:p>
          <w:p w:rsidR="00000000" w:rsidDel="00000000" w:rsidP="00000000" w:rsidRDefault="00000000" w:rsidRPr="00000000" w14:paraId="00000010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№   .............  /  ...............</w:t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color w:val="333333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Професионално направление: 1.3 Педагогика на об</w:t>
            </w:r>
            <w:r w:rsidDel="00000000" w:rsidR="00000000" w:rsidRPr="00000000">
              <w:rPr>
                <w:color w:val="333333"/>
                <w:sz w:val="30"/>
                <w:szCs w:val="30"/>
                <w:rtl w:val="0"/>
              </w:rPr>
              <w:t xml:space="preserve">учението по …. (изобразително изкуство)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color w:val="333333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ОКС „магистър”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589.0" w:type="dxa"/>
              <w:jc w:val="left"/>
              <w:tblLayout w:type="fixed"/>
              <w:tblLook w:val="0000"/>
            </w:tblPr>
            <w:tblGrid>
              <w:gridCol w:w="446"/>
              <w:gridCol w:w="544"/>
              <w:gridCol w:w="539"/>
              <w:gridCol w:w="541"/>
              <w:gridCol w:w="447"/>
              <w:gridCol w:w="451"/>
              <w:gridCol w:w="541"/>
              <w:gridCol w:w="540"/>
              <w:gridCol w:w="540"/>
              <w:tblGridChange w:id="0">
                <w:tblGrid>
                  <w:gridCol w:w="446"/>
                  <w:gridCol w:w="544"/>
                  <w:gridCol w:w="539"/>
                  <w:gridCol w:w="541"/>
                  <w:gridCol w:w="447"/>
                  <w:gridCol w:w="451"/>
                  <w:gridCol w:w="541"/>
                  <w:gridCol w:w="540"/>
                  <w:gridCol w:w="5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9">
                  <w:pPr>
                    <w:rPr>
                      <w:color w:val="333333"/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color w:val="333333"/>
                      <w:sz w:val="30"/>
                      <w:szCs w:val="30"/>
                      <w:rtl w:val="0"/>
                    </w:rPr>
                    <w:t xml:space="preserve">Н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rPr>
                      <w:color w:val="333333"/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color w:val="333333"/>
                      <w:sz w:val="30"/>
                      <w:szCs w:val="30"/>
                      <w:rtl w:val="0"/>
                    </w:rPr>
                    <w:t xml:space="preserve">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rPr>
                      <w:color w:val="333333"/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color w:val="333333"/>
                      <w:sz w:val="30"/>
                      <w:szCs w:val="30"/>
                      <w:rtl w:val="0"/>
                    </w:rPr>
                    <w:t xml:space="preserve">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rPr>
                      <w:color w:val="333333"/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color w:val="333333"/>
                      <w:sz w:val="30"/>
                      <w:szCs w:val="30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rPr>
                      <w:color w:val="333333"/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color w:val="333333"/>
                      <w:sz w:val="30"/>
                      <w:szCs w:val="3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rPr>
                      <w:color w:val="333333"/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color w:val="333333"/>
                      <w:sz w:val="30"/>
                      <w:szCs w:val="3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F">
                  <w:pPr>
                    <w:rPr>
                      <w:color w:val="333333"/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color w:val="333333"/>
                      <w:sz w:val="30"/>
                      <w:szCs w:val="30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rPr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sz w:val="30"/>
                      <w:szCs w:val="3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1">
                  <w:pPr>
                    <w:rPr>
                      <w:sz w:val="30"/>
                      <w:szCs w:val="30"/>
                      <w:vertAlign w:val="baseline"/>
                    </w:rPr>
                  </w:pPr>
                  <w:r w:rsidDel="00000000" w:rsidR="00000000" w:rsidRPr="00000000">
                    <w:rPr>
                      <w:sz w:val="30"/>
                      <w:szCs w:val="30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2">
            <w:pPr>
              <w:rPr>
                <w:color w:val="333333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Специалност:</w:t>
            </w:r>
            <w:r w:rsidDel="00000000" w:rsidR="00000000" w:rsidRPr="00000000">
              <w:rPr>
                <w:color w:val="333333"/>
                <w:sz w:val="30"/>
                <w:szCs w:val="30"/>
                <w:rtl w:val="0"/>
              </w:rPr>
              <w:t xml:space="preserve"> Изобразително изкуство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333333"/>
                <w:vertAlign w:val="baseline"/>
              </w:rPr>
            </w:pP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Магистърска програма:</w:t>
            </w: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 Визуални</w:t>
            </w:r>
            <w:r w:rsidDel="00000000" w:rsidR="00000000" w:rsidRPr="00000000">
              <w:rPr>
                <w:color w:val="333333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изкуства </w:t>
            </w:r>
            <w:r w:rsidDel="00000000" w:rsidR="00000000" w:rsidRPr="00000000">
              <w:rPr>
                <w:color w:val="333333"/>
                <w:sz w:val="30"/>
                <w:szCs w:val="30"/>
                <w:rtl w:val="0"/>
              </w:rPr>
              <w:t xml:space="preserve">и образователни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color w:val="333333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vertAlign w:val="baseline"/>
                <w:rtl w:val="0"/>
              </w:rPr>
              <w:t xml:space="preserve">Форма на обучение: редовна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color w:val="333333"/>
                <w:vertAlign w:val="baseline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vertAlign w:val="baseline"/>
                <w:rtl w:val="0"/>
              </w:rPr>
              <w:t xml:space="preserve">Продължителност на обучението (брой семестри): 2 (два</w:t>
            </w: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2" w:hRule="atLeast"/>
          <w:tblHeader w:val="0"/>
        </w:trPr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333333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Професионална квалификация:</w:t>
            </w:r>
            <w:r w:rsidDel="00000000" w:rsidR="00000000" w:rsidRPr="00000000">
              <w:rPr>
                <w:color w:val="333333"/>
                <w:sz w:val="30"/>
                <w:szCs w:val="3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sz w:val="30"/>
                <w:szCs w:val="30"/>
                <w:rtl w:val="0"/>
              </w:rPr>
              <w:t xml:space="preserve">Магистър по педагогика на обучението по изобразително изкуство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Квалификационна характеристика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0"/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Специалност: Изобразително изкуство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Магистърска програма: Визуални изкуства и образователни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Насоченост, образователни цели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425.19685039370086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Магистърската програма е насочена към студенти, завършили ОКС бакалавър с придобита професионална квалификация учител по изобразително изкуство в професионално направление 1.3 Педагогика на обучението по … (изобразителното изкуство).</w:t>
      </w:r>
    </w:p>
    <w:p w:rsidR="00000000" w:rsidDel="00000000" w:rsidP="00000000" w:rsidRDefault="00000000" w:rsidRPr="00000000" w14:paraId="00000035">
      <w:pPr>
        <w:ind w:left="0" w:firstLine="425.19685039370086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Образователните цели, поставени в тази програма, от една страна са свързани с подготовката на висококвалифицирани професионалисти, които да се включат пълноценно във всички степени на училищното образование. От друга страна ключова цел е и формирането на съвременни визуални артисти, подготвени да бъдат активни участници в динамичните процеси в съвременното изкуство.</w:t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Обучение (знания и умения, необходими за успешна професионална дейност; общо теоретична и специална подготовка и др.)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ind w:left="0" w:firstLine="425.19685039370086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Спецификата на подготовката на специалисти с професионална квалификация “Магистър по педагогика на изобразителното изкуство” налага обучението, провеждано в магистърската програма „Визуални изкуства и образователни практики“, да бъде с широк диапазон.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В</w:t>
      </w:r>
      <w:r w:rsidDel="00000000" w:rsidR="00000000" w:rsidRPr="00000000">
        <w:rPr>
          <w:sz w:val="26"/>
          <w:szCs w:val="26"/>
          <w:rtl w:val="0"/>
        </w:rPr>
        <w:t xml:space="preserve">одеща цел н е подготовката на студентите като активни участници в художествения живот. Това налага дисциплините в рамките на магистърската програма да бъдат насочени едновременно към формирането на знания и умения, които да бъдат прилагани както непосредствено в педагогическата практика, така и в художествено-творческата реализация. В задължителните дисциплини фокусът е насочен върху такива, които са свързани с творческата работа и които имат надграждащ характер (“Живопис и цветознание“, „Стилизация и орнамент“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, „Арт форми от рециклирана хартия“</w:t>
      </w:r>
      <w:r w:rsidDel="00000000" w:rsidR="00000000" w:rsidRPr="00000000">
        <w:rPr>
          <w:sz w:val="26"/>
          <w:szCs w:val="26"/>
          <w:rtl w:val="0"/>
        </w:rPr>
        <w:t xml:space="preserve">, „Дигитална графика“, </w:t>
      </w:r>
      <w:r w:rsidDel="00000000" w:rsidR="00000000" w:rsidRPr="00000000">
        <w:rPr>
          <w:color w:val="333333"/>
          <w:sz w:val="26"/>
          <w:szCs w:val="26"/>
          <w:rtl w:val="0"/>
        </w:rPr>
        <w:t xml:space="preserve">„</w:t>
      </w:r>
      <w:r w:rsidDel="00000000" w:rsidR="00000000" w:rsidRPr="00000000">
        <w:rPr>
          <w:sz w:val="26"/>
          <w:szCs w:val="26"/>
          <w:rtl w:val="0"/>
        </w:rPr>
        <w:t xml:space="preserve">Съвременни тенденции и направления в графиката</w:t>
      </w:r>
      <w:r w:rsidDel="00000000" w:rsidR="00000000" w:rsidRPr="00000000">
        <w:rPr>
          <w:sz w:val="26"/>
          <w:szCs w:val="26"/>
          <w:rtl w:val="0"/>
        </w:rPr>
        <w:t xml:space="preserve">“, „</w:t>
      </w:r>
      <w:r w:rsidDel="00000000" w:rsidR="00000000" w:rsidRPr="00000000">
        <w:rPr>
          <w:sz w:val="26"/>
          <w:szCs w:val="26"/>
          <w:rtl w:val="0"/>
        </w:rPr>
        <w:t xml:space="preserve">Актуални практики в графичния дизайн“, „Интердисциплинарни артистични практики“,</w:t>
      </w:r>
      <w:r w:rsidDel="00000000" w:rsidR="00000000" w:rsidRPr="00000000">
        <w:rPr>
          <w:i w:val="0"/>
          <w:strike w:val="0"/>
          <w:sz w:val="26"/>
          <w:szCs w:val="26"/>
          <w:u w:val="none"/>
          <w:rtl w:val="0"/>
        </w:rPr>
        <w:t xml:space="preserve"> „Рису</w:t>
      </w:r>
      <w:r w:rsidDel="00000000" w:rsidR="00000000" w:rsidRPr="00000000">
        <w:rPr>
          <w:i w:val="0"/>
          <w:strike w:val="0"/>
          <w:color w:val="000000"/>
          <w:sz w:val="26"/>
          <w:szCs w:val="26"/>
          <w:u w:val="none"/>
          <w:rtl w:val="0"/>
        </w:rPr>
        <w:t xml:space="preserve">ване и колаж</w:t>
      </w:r>
      <w:r w:rsidDel="00000000" w:rsidR="00000000" w:rsidRPr="00000000">
        <w:rPr>
          <w:i w:val="0"/>
          <w:strike w:val="0"/>
          <w:sz w:val="26"/>
          <w:szCs w:val="26"/>
          <w:u w:val="none"/>
          <w:rtl w:val="0"/>
        </w:rPr>
        <w:t xml:space="preserve">“</w:t>
      </w:r>
      <w:r w:rsidDel="00000000" w:rsidR="00000000" w:rsidRPr="00000000">
        <w:rPr>
          <w:sz w:val="26"/>
          <w:szCs w:val="26"/>
          <w:rtl w:val="0"/>
        </w:rPr>
        <w:t xml:space="preserve">,</w:t>
      </w:r>
      <w:r w:rsidDel="00000000" w:rsidR="00000000" w:rsidRPr="00000000">
        <w:rPr>
          <w:i w:val="0"/>
          <w:strike w:val="0"/>
          <w:sz w:val="26"/>
          <w:szCs w:val="26"/>
          <w:u w:val="no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„Човек и изкуство</w:t>
      </w:r>
      <w:r w:rsidDel="00000000" w:rsidR="00000000" w:rsidRPr="00000000">
        <w:rPr>
          <w:i w:val="0"/>
          <w:strike w:val="0"/>
          <w:sz w:val="26"/>
          <w:szCs w:val="26"/>
          <w:u w:val="none"/>
          <w:rtl w:val="0"/>
        </w:rPr>
        <w:t xml:space="preserve">“, „Визуална култура“, „Визуа</w:t>
      </w:r>
      <w:r w:rsidDel="00000000" w:rsidR="00000000" w:rsidRPr="00000000">
        <w:rPr>
          <w:sz w:val="26"/>
          <w:szCs w:val="26"/>
          <w:rtl w:val="0"/>
        </w:rPr>
        <w:t xml:space="preserve">лни символи“, „</w:t>
      </w:r>
      <w:r w:rsidDel="00000000" w:rsidR="00000000" w:rsidRPr="00000000">
        <w:rPr>
          <w:sz w:val="26"/>
          <w:szCs w:val="26"/>
          <w:rtl w:val="0"/>
        </w:rPr>
        <w:t xml:space="preserve">Изкуство и контекст: средновековно балканско изкуство“</w:t>
      </w:r>
      <w:r w:rsidDel="00000000" w:rsidR="00000000" w:rsidRPr="00000000">
        <w:rPr>
          <w:sz w:val="26"/>
          <w:szCs w:val="26"/>
          <w:rtl w:val="0"/>
        </w:rPr>
        <w:t xml:space="preserve">)</w:t>
      </w:r>
      <w:r w:rsidDel="00000000" w:rsidR="00000000" w:rsidRPr="00000000">
        <w:rPr>
          <w:i w:val="0"/>
          <w:strike w:val="0"/>
          <w:sz w:val="26"/>
          <w:szCs w:val="26"/>
          <w:u w:val="none"/>
          <w:rtl w:val="0"/>
        </w:rPr>
        <w:t xml:space="preserve">. Успоредно с това са включени и дисциплини</w:t>
      </w:r>
      <w:r w:rsidDel="00000000" w:rsidR="00000000" w:rsidRPr="00000000">
        <w:rPr>
          <w:sz w:val="26"/>
          <w:szCs w:val="26"/>
          <w:rtl w:val="0"/>
        </w:rPr>
        <w:t xml:space="preserve">, които запознават студентите с актуални проблеми и проучвания в областта на педагогиката („Специална педагогика“, „История на художественото образование“, „</w:t>
      </w:r>
      <w:r w:rsidDel="00000000" w:rsidR="00000000" w:rsidRPr="00000000">
        <w:rPr>
          <w:sz w:val="26"/>
          <w:szCs w:val="26"/>
          <w:rtl w:val="0"/>
        </w:rPr>
        <w:t xml:space="preserve">Компетентностен подход и иновации в образованието“</w:t>
      </w:r>
      <w:r w:rsidDel="00000000" w:rsidR="00000000" w:rsidRPr="00000000">
        <w:rPr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39">
      <w:pPr>
        <w:widowControl w:val="0"/>
        <w:ind w:left="0" w:firstLine="425.19685039370086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Важен компонент в учебния план са избираемите дисциплини, които позволяват на студентите да развият задълбочен поглед към частни проблеми, свързани с теорията и практиката на изобразителните изкуства („</w:t>
      </w:r>
      <w:r w:rsidDel="00000000" w:rsidR="00000000" w:rsidRPr="00000000">
        <w:rPr>
          <w:sz w:val="26"/>
          <w:szCs w:val="26"/>
          <w:rtl w:val="0"/>
        </w:rPr>
        <w:t xml:space="preserve">Модерни и съвременни течения в живописта“, „Експериментална графика“</w:t>
      </w:r>
      <w:r w:rsidDel="00000000" w:rsidR="00000000" w:rsidRPr="00000000">
        <w:rPr>
          <w:sz w:val="26"/>
          <w:szCs w:val="26"/>
          <w:rtl w:val="0"/>
        </w:rPr>
        <w:t xml:space="preserve">, „</w:t>
      </w:r>
      <w:r w:rsidDel="00000000" w:rsidR="00000000" w:rsidRPr="00000000">
        <w:rPr>
          <w:sz w:val="26"/>
          <w:szCs w:val="26"/>
          <w:rtl w:val="0"/>
        </w:rPr>
        <w:t xml:space="preserve">Украсената книга в епохата на Европейското средновековие“, „</w:t>
      </w:r>
      <w:r w:rsidDel="00000000" w:rsidR="00000000" w:rsidRPr="00000000">
        <w:rPr>
          <w:sz w:val="26"/>
          <w:szCs w:val="26"/>
          <w:rtl w:val="0"/>
        </w:rPr>
        <w:t xml:space="preserve">Основи на компютърното триизмерно моделиране“, „</w:t>
      </w:r>
      <w:r w:rsidDel="00000000" w:rsidR="00000000" w:rsidRPr="00000000">
        <w:rPr>
          <w:sz w:val="26"/>
          <w:szCs w:val="26"/>
          <w:rtl w:val="0"/>
        </w:rPr>
        <w:t xml:space="preserve">Слово и образ: религиозни идеи и художествени тенденции“, „Арт фотография“, „Семиотика на съвременните изкуства“), 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 както и да се запознаят с различни аспекти на обучението по изобразително изкуство в рамките на училищното и на неформалното образование („</w:t>
      </w:r>
      <w:r w:rsidDel="00000000" w:rsidR="00000000" w:rsidRPr="00000000">
        <w:rPr>
          <w:sz w:val="26"/>
          <w:szCs w:val="26"/>
          <w:rtl w:val="0"/>
        </w:rPr>
        <w:t xml:space="preserve">STEAM подход в обучението по визуални изкуства“, „</w:t>
      </w:r>
      <w:r w:rsidDel="00000000" w:rsidR="00000000" w:rsidRPr="00000000">
        <w:rPr>
          <w:sz w:val="26"/>
          <w:szCs w:val="26"/>
          <w:rtl w:val="0"/>
        </w:rPr>
        <w:t xml:space="preserve">Съвременни образователни технологии в обучението по изобразително изкуство“)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A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Професионални компет</w:t>
      </w:r>
      <w:r w:rsidDel="00000000" w:rsidR="00000000" w:rsidRPr="00000000">
        <w:rPr>
          <w:b w:val="1"/>
          <w:sz w:val="26"/>
          <w:szCs w:val="26"/>
          <w:rtl w:val="0"/>
        </w:rPr>
        <w:t xml:space="preserve">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425.19685039370086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 специалност „Визуални изкуства и образователни практики” се подготвят преподаватели по изобразително изкуство, които притежават широк набор от компетенции, позволяващи им успешна реализация както в рамките на училищното и извънучилищното образование, така и в различни художествени области. В концепцията на учебния план е заложена не тясната специализация в конкретна  област на изкуството, а напротив – широк диапазон, който включва различните видове пластични изкуства, така че випускниците да могат да се реализират пълноценно  и като педагози, и като художници.</w:t>
      </w:r>
    </w:p>
    <w:p w:rsidR="00000000" w:rsidDel="00000000" w:rsidP="00000000" w:rsidRDefault="00000000" w:rsidRPr="00000000" w14:paraId="0000003D">
      <w:pPr>
        <w:widowControl w:val="0"/>
        <w:ind w:left="0" w:firstLine="425.19685039370086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Фокусът в учебния план е насочен към формиране на следните ключови компетентности: 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прилагане на компетентностния подход и на  иновативни практики в образователния процес;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познаване на тенденциите в развитието на художественото образование;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съчетаване на класически и съвременни техники и подходи в художествената дейност; използване на интердисциплинарни артистични практики; прилагане на  дигиталните технологии като художествен инструмент;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разработване на продукти на графичния дизайн и използване на възможностите на визуалния образ като ключова форма на комуникация;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способност за анализ на процесите във визуалните изкуства, на факти и феномени, свързани със съвременната визуална култура.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ind w:left="0" w:firstLine="0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Професионална реализация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425.19685039370086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Студентите, успешно завършили магистърската програма „Визуални изкуства и образователни практики”, </w:t>
      </w:r>
      <w:r w:rsidDel="00000000" w:rsidR="00000000" w:rsidRPr="00000000">
        <w:rPr>
          <w:sz w:val="26"/>
          <w:szCs w:val="26"/>
          <w:rtl w:val="0"/>
        </w:rPr>
        <w:t xml:space="preserve">могат да работят като учители по изобразително изкуство във всички степени на училищното образование, като преподаватели в организации за извънучилищни дейности  (различни центрове за работа с деца, школи, ателиета и пр.) и в рамките на неформалното образование. Включените в учебния план задължителни художествени дисциплини </w:t>
      </w:r>
      <w:r w:rsidDel="00000000" w:rsidR="00000000" w:rsidRPr="00000000">
        <w:rPr>
          <w:sz w:val="26"/>
          <w:szCs w:val="26"/>
          <w:rtl w:val="0"/>
        </w:rPr>
        <w:t xml:space="preserve">(“Живопис и цветознание“, „Стилизация и орнамент“, „Растерна дигитална графика“, „Арт форми от рециклирана хартия“, „Дигитална графика“, </w:t>
      </w:r>
      <w:r w:rsidDel="00000000" w:rsidR="00000000" w:rsidRPr="00000000">
        <w:rPr>
          <w:color w:val="333333"/>
          <w:sz w:val="26"/>
          <w:szCs w:val="26"/>
          <w:rtl w:val="0"/>
        </w:rPr>
        <w:t xml:space="preserve">„</w:t>
      </w:r>
      <w:r w:rsidDel="00000000" w:rsidR="00000000" w:rsidRPr="00000000">
        <w:rPr>
          <w:sz w:val="26"/>
          <w:szCs w:val="26"/>
          <w:rtl w:val="0"/>
        </w:rPr>
        <w:t xml:space="preserve">Съвременни тенденции и направления в графиката“, </w:t>
      </w:r>
      <w:r w:rsidDel="00000000" w:rsidR="00000000" w:rsidRPr="00000000">
        <w:rPr>
          <w:sz w:val="26"/>
          <w:szCs w:val="26"/>
          <w:rtl w:val="0"/>
        </w:rPr>
        <w:t xml:space="preserve">„</w:t>
      </w:r>
      <w:r w:rsidDel="00000000" w:rsidR="00000000" w:rsidRPr="00000000">
        <w:rPr>
          <w:sz w:val="26"/>
          <w:szCs w:val="26"/>
          <w:rtl w:val="0"/>
        </w:rPr>
        <w:t xml:space="preserve">Актуални практики в графичния дизайн“, „Интердисциплинарни артистични практики“,</w:t>
      </w:r>
      <w:r w:rsidDel="00000000" w:rsidR="00000000" w:rsidRPr="00000000">
        <w:rPr>
          <w:sz w:val="26"/>
          <w:szCs w:val="26"/>
          <w:rtl w:val="0"/>
        </w:rPr>
        <w:t xml:space="preserve"> „Рисуване и колаж“, „Визуални символи“), както и избираемите дисциплини </w:t>
      </w:r>
      <w:r w:rsidDel="00000000" w:rsidR="00000000" w:rsidRPr="00000000">
        <w:rPr>
          <w:sz w:val="26"/>
          <w:szCs w:val="26"/>
          <w:rtl w:val="0"/>
        </w:rPr>
        <w:t xml:space="preserve">„Модерни и съвременни течения в живописта“, „Експериментална графика“, „Основи на компютърното триизмерно моделиране“, „Арт фотография</w:t>
      </w:r>
      <w:r w:rsidDel="00000000" w:rsidR="00000000" w:rsidRPr="00000000">
        <w:rPr>
          <w:sz w:val="26"/>
          <w:szCs w:val="26"/>
          <w:rtl w:val="0"/>
        </w:rPr>
        <w:t xml:space="preserve">“, „</w:t>
      </w:r>
      <w:r w:rsidDel="00000000" w:rsidR="00000000" w:rsidRPr="00000000">
        <w:rPr>
          <w:sz w:val="26"/>
          <w:szCs w:val="26"/>
          <w:rtl w:val="0"/>
        </w:rPr>
        <w:t xml:space="preserve">Семиотика на съвременните изкуства“ са в обем и с хорариум, които дават  на магистрите, завършили специалността, възможност да се реализират и като художници в различни сфери на визуалните изкуства. Многостранната подготовка, която получават, им позволява да  работят както в различни музеи и галерии (държавни, общински, частни), така и в общински, държавни, неправителствени и частни структури, свързани с развитието на културата и образованието.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08" w:top="1008" w:left="1008" w:right="1008" w:header="0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